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color w:val="FF0000"/>
          <w:sz w:val="32"/>
          <w:szCs w:val="32"/>
        </w:rPr>
      </w:pP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-752475</wp:posOffset>
                </wp:positionV>
                <wp:extent cx="76200" cy="9357360"/>
                <wp:effectExtent l="0" t="0" r="0" b="15240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93573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9.8pt;margin-top:-59.25pt;height:736.8pt;width:6pt;z-index:251660288;mso-width-relative:page;mso-height-relative:page;" fillcolor="#C4BC96" filled="t" stroked="f" coordsize="21600,21600" o:gfxdata="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5T9zvbAAAADQEAAA8AAAAAAAAAAQAgAAAAIgAAAGRycy9k&#10;b3ducmV2LnhtbFBLAQIUABQAAAAIAIdO4kCzpClnxgEAAFcDAAAOAAAAAAAAAAEAIAAAACo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32"/>
          <w:szCs w:val="32"/>
          <w:lang w:eastAsia="zh-CN"/>
        </w:rPr>
        <w:drawing>
          <wp:inline distT="0" distB="0" distL="114300" distR="114300">
            <wp:extent cx="2505075" cy="496570"/>
            <wp:effectExtent l="0" t="0" r="9525" b="17780"/>
            <wp:docPr id="3" name="图片 3" descr="C:\Users\TX\Desktop\QQ截图20190124172259.pngQQ截图2019012417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X\Desktop\QQ截图20190124172259.pngQQ截图2019012417225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-761365</wp:posOffset>
                </wp:positionV>
                <wp:extent cx="6571615" cy="90805"/>
                <wp:effectExtent l="0" t="0" r="635" b="4445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615" cy="9080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50.3pt;margin-top:-59.95pt;height:7.15pt;width:517.45pt;z-index:251661312;mso-width-relative:page;mso-height-relative:page;" fillcolor="#C4BC96" filled="t" stroked="f" coordsize="21600,21600" o:gfxdata="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6IM9toAAAAOAQAADwAAAAAAAAABACAAAAAiAAAAZHJzL2Rv&#10;d25yZXYueG1sUEsBAhQAFAAAAAgAh07iQEZAW6nGAQAAVwMAAA4AAAAAAAAAAQAgAAAAKQ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-742315</wp:posOffset>
                </wp:positionV>
                <wp:extent cx="76200" cy="9357360"/>
                <wp:effectExtent l="0" t="0" r="0" b="1524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93573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2.4pt;margin-top:-58.45pt;height:736.8pt;width:6pt;z-index:251662336;mso-width-relative:page;mso-height-relative:page;" fillcolor="#C4BC96" filled="t" stroked="f" coordsize="21600,21600" o:gfxdata="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9MoWjcAAAADQEAAA8AAAAAAAAAAQAgAAAAIgAAAGRycy9k&#10;b3ducmV2LnhtbFBLAQIUABQAAAAIAIdO4kBdeaggxQEAAFcDAAAOAAAAAAAAAAEAIAAAACs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                    </w:t>
      </w:r>
    </w:p>
    <w:p>
      <w:pPr>
        <w:jc w:val="left"/>
        <w:rPr>
          <w:rFonts w:hint="eastAsia" w:ascii="方正小标宋_GBK" w:eastAsia="方正小标宋_GBK"/>
          <w:color w:val="FF0000"/>
          <w:sz w:val="32"/>
          <w:szCs w:val="32"/>
          <w:lang w:eastAsia="zh-CN"/>
        </w:rPr>
      </w:pPr>
    </w:p>
    <w:p>
      <w:pPr>
        <w:jc w:val="right"/>
        <w:rPr>
          <w:rFonts w:ascii="方正小标宋_GBK" w:eastAsia="方正小标宋_GBK"/>
          <w:color w:val="FF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FF0000"/>
          <w:sz w:val="36"/>
          <w:szCs w:val="36"/>
        </w:rPr>
      </w:pP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</w:t>
      </w:r>
    </w:p>
    <w:p>
      <w:pPr>
        <w:jc w:val="center"/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val="en-US" w:eastAsia="zh-CN"/>
        </w:rPr>
      </w:pP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</w:rPr>
        <w:t>宁夏药品监督管理</w:t>
      </w: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val="en-US" w:eastAsia="zh-CN"/>
        </w:rPr>
        <w:t>局</w:t>
      </w:r>
    </w:p>
    <w:p>
      <w:pPr>
        <w:jc w:val="center"/>
        <w:rPr>
          <w:rFonts w:ascii="方正小标宋_GBK" w:hAnsi="微软雅黑" w:eastAsia="方正小标宋_GBK"/>
          <w:b/>
          <w:bCs/>
          <w:color w:val="auto"/>
          <w:sz w:val="84"/>
          <w:szCs w:val="84"/>
        </w:rPr>
      </w:pP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  <w:lang w:eastAsia="zh-CN"/>
        </w:rPr>
        <w:t>案件</w:t>
      </w:r>
      <w:r>
        <w:rPr>
          <w:rFonts w:hint="eastAsia" w:ascii="方正小标宋_GBK" w:hAnsi="微软雅黑" w:eastAsia="方正小标宋_GBK"/>
          <w:b/>
          <w:bCs/>
          <w:color w:val="auto"/>
          <w:sz w:val="84"/>
          <w:szCs w:val="84"/>
        </w:rPr>
        <w:t>统计报告</w:t>
      </w:r>
    </w:p>
    <w:p>
      <w:pPr>
        <w:ind w:firstLine="3253" w:firstLineChars="900"/>
        <w:jc w:val="both"/>
        <w:rPr>
          <w:rFonts w:hint="eastAsia" w:ascii="楷体" w:hAnsi="楷体" w:eastAsia="楷体" w:cs="楷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（201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度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）</w:t>
      </w: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jc w:val="center"/>
        <w:rPr>
          <w:rFonts w:ascii="方正小标宋_GBK" w:hAnsi="微软雅黑" w:eastAsia="方正小标宋_GBK"/>
          <w:color w:val="auto"/>
          <w:sz w:val="36"/>
          <w:szCs w:val="36"/>
        </w:rPr>
      </w:pP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宁夏回族自治区药品监督管理局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eastAsia="zh-CN"/>
        </w:rPr>
        <w:t>稽查局</w:t>
      </w:r>
    </w:p>
    <w:p>
      <w:pPr>
        <w:jc w:val="center"/>
        <w:rPr>
          <w:rFonts w:hint="eastAsia" w:ascii="楷体" w:hAnsi="楷体" w:eastAsia="楷体" w:cs="楷体"/>
          <w:b/>
          <w:bCs/>
          <w:color w:val="auto"/>
          <w:sz w:val="36"/>
          <w:szCs w:val="36"/>
        </w:rPr>
      </w:pPr>
      <w:r>
        <w:rPr>
          <w:rFonts w:ascii="方正小标宋_GBK" w:eastAsia="方正小标宋_GBK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1562100</wp:posOffset>
                </wp:positionV>
                <wp:extent cx="6557645" cy="116205"/>
                <wp:effectExtent l="4445" t="4445" r="10160" b="1270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645" cy="11620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49.1pt;margin-top:123pt;height:9.15pt;width:516.35pt;z-index:251658240;mso-width-relative:page;mso-height-relative:page;" fillcolor="#C4BC96" filled="t" stroked="t" coordsize="21600,21600" o:gfxdata="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jYy0NgAAAALAQAADwAAAAAAAAABACAAAAAi&#10;AAAAZHJzL2Rvd25yZXYueG1sUEsBAhQAFAAAAAgAh07iQNER0J0KAgAADgQAAA4AAAAAAAAAAQAg&#10;AAAAJw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微软雅黑" w:eastAsia="方正小标宋_GBK"/>
          <w:color w:val="auto"/>
          <w:sz w:val="36"/>
          <w:szCs w:val="36"/>
        </w:rPr>
        <w:t xml:space="preserve">  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201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850" w:h="16783"/>
          <w:pgMar w:top="2098" w:right="1474" w:bottom="1984" w:left="1587" w:header="851" w:footer="992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 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一、案件基本情况    ……………………………………………1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二、案件类别        ……………………………………………2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（一）按案件类别分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（二）按案件来源分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（三）从涉案地域分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药品类违法案件  ……………………………………………8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四、医疗器械类违法案件 ………………………………………14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五、化妆品类违法案件 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（一）基本情况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（二）案件来源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（三）查办违法环节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1、一般程序案件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sectPr>
          <w:footerReference r:id="rId4" w:type="default"/>
          <w:pgSz w:w="11850" w:h="16783"/>
          <w:pgMar w:top="2098" w:right="1474" w:bottom="1984" w:left="1587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2、简易程序案件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……………………………………………19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2018年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全区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药品医疗器械化妆品案件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统计报告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一、案件基本情况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2018年度全区共计办结药品医疗器械化妆品（以下统称“两品一械”）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一般程序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2.82%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；货值（案值）金额共计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509.63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</w:t>
      </w:r>
      <w:r>
        <w:rPr>
          <w:rFonts w:hint="eastAsia" w:ascii="仿宋" w:hAnsi="仿宋" w:eastAsia="仿宋" w:cs="仿宋"/>
          <w:sz w:val="32"/>
          <w:szCs w:val="32"/>
        </w:rPr>
        <w:t>；收缴罚没款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309.18</w:t>
      </w:r>
      <w:r>
        <w:rPr>
          <w:rFonts w:hint="eastAsia" w:ascii="仿宋" w:hAnsi="仿宋" w:eastAsia="仿宋" w:cs="仿宋"/>
          <w:sz w:val="32"/>
          <w:szCs w:val="32"/>
        </w:rPr>
        <w:t>万元，同比增长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13.93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移送司法机关案件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件，办理较大案件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件，办理重大案件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2018年度全区共计办结“两品一械”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简易程序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件，货值（案值）金额共计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万元，收缴罚没款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3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表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：2017、2018年度全区“两品一械”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一般程序行政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违法案件对比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120005" cy="3002915"/>
            <wp:effectExtent l="4445" t="4445" r="19050" b="2159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二、案件分类情况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（一）按案件类别分：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2018年度我区共计办结药品类案件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76.03%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242.67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万元；办结医疗器械类案件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9.93%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58.11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万元；办结化妆品类案件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14.04%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：2018年度全区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“两品一械”一般程序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5185410" cy="3745230"/>
            <wp:effectExtent l="85090" t="46990" r="158750" b="18923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2018年度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全区“两品一械”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一般程序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案件分类占比情况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023485" cy="3192780"/>
            <wp:effectExtent l="20955" t="55245" r="80010" b="2857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center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center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简易程序案件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上半年全区共计办结药品类简易程序案件137件，占简易程序案件的98.56%；办结化妆品类案件2件，占简易程序案件的1.44%。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2018年度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全区“两品一械”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简易程序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案件分类占比情况</w:t>
      </w:r>
    </w:p>
    <w:tbl>
      <w:tblPr>
        <w:tblStyle w:val="7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 w:themeFill="accent6" w:themeFillTint="6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801"/>
        <w:gridCol w:w="1801"/>
        <w:gridCol w:w="18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简易程序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案件总数</w:t>
            </w:r>
          </w:p>
        </w:tc>
        <w:tc>
          <w:tcPr>
            <w:tcW w:w="3602" w:type="dxa"/>
            <w:gridSpan w:val="2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药品简易程序案件</w:t>
            </w:r>
          </w:p>
        </w:tc>
        <w:tc>
          <w:tcPr>
            <w:tcW w:w="3602" w:type="dxa"/>
            <w:gridSpan w:val="2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化妆品简易程序案件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案件数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占比数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案件数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占比数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98.56%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030A0"/>
                <w:sz w:val="28"/>
                <w:szCs w:val="28"/>
                <w:vertAlign w:val="baseline"/>
                <w:lang w:val="en-US" w:eastAsia="zh-CN"/>
              </w:rPr>
              <w:t>1.44%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（二）按案件来源分：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件“两品一械”一般程序违法案件来源于投诉举报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5.82%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；来源于监督抽验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33.91%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；来源于执法检验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5.82%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；来源于日常监管和专项检查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47.95%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；来源于其他部门通报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3.08%；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来源于其它类别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件，占一般程序违法案件的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3.42%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由此可以看出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日常监管和专项检查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成为查办“两品一械”违法案件的主要来源。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表5：2018年度全区“两品一械”一般程序案件来源统计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728335" cy="2852420"/>
            <wp:effectExtent l="68580" t="83185" r="146685" b="11239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件“两品一械”简易程序违法案件来源于投诉举报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件，占简易程序违法案件的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1.44%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；来源于监督抽验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件，占简易程序违法案件的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0.72%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；来源于执法检验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件，占简易程序违法案件的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1.44%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；来源于日常监管和专项检查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件，占简易程序违法案件的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95.68%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；来源于其它类别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件，占简易程序违法案件的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0.72%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表6：2018年度全区“两品一械”简易程序案件来源统计</w:t>
      </w:r>
    </w:p>
    <w:tbl>
      <w:tblPr>
        <w:tblStyle w:val="7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CBFE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3"/>
        <w:gridCol w:w="1605"/>
        <w:gridCol w:w="2805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dotted" w:color="auto" w:sz="8" w:space="0"/>
              <w:left w:val="dotted" w:color="auto" w:sz="8" w:space="0"/>
              <w:bottom w:val="dotted" w:color="auto" w:sz="12" w:space="0"/>
              <w:right w:val="dotted" w:color="auto" w:sz="8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投诉举报</w:t>
            </w:r>
          </w:p>
        </w:tc>
        <w:tc>
          <w:tcPr>
            <w:tcW w:w="1793" w:type="dxa"/>
            <w:tcBorders>
              <w:top w:val="dotted" w:color="auto" w:sz="8" w:space="0"/>
              <w:left w:val="dotted" w:color="auto" w:sz="8" w:space="0"/>
              <w:bottom w:val="dotted" w:color="auto" w:sz="12" w:space="0"/>
              <w:right w:val="dotted" w:color="auto" w:sz="8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监督抽验</w:t>
            </w:r>
          </w:p>
        </w:tc>
        <w:tc>
          <w:tcPr>
            <w:tcW w:w="1605" w:type="dxa"/>
            <w:tcBorders>
              <w:top w:val="dotted" w:color="auto" w:sz="8" w:space="0"/>
              <w:left w:val="dotted" w:color="auto" w:sz="8" w:space="0"/>
              <w:bottom w:val="dotted" w:color="auto" w:sz="12" w:space="0"/>
              <w:right w:val="dotted" w:color="auto" w:sz="8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执法检验</w:t>
            </w:r>
          </w:p>
        </w:tc>
        <w:tc>
          <w:tcPr>
            <w:tcW w:w="2805" w:type="dxa"/>
            <w:tcBorders>
              <w:top w:val="dotted" w:color="auto" w:sz="8" w:space="0"/>
              <w:left w:val="dotted" w:color="auto" w:sz="8" w:space="0"/>
              <w:bottom w:val="dotted" w:color="auto" w:sz="12" w:space="0"/>
              <w:right w:val="dotted" w:color="auto" w:sz="8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日常监管和专项检查</w:t>
            </w:r>
          </w:p>
        </w:tc>
        <w:tc>
          <w:tcPr>
            <w:tcW w:w="969" w:type="dxa"/>
            <w:tcBorders>
              <w:top w:val="dotted" w:color="auto" w:sz="8" w:space="0"/>
              <w:left w:val="dotted" w:color="auto" w:sz="8" w:space="0"/>
              <w:bottom w:val="dotted" w:color="auto" w:sz="12" w:space="0"/>
              <w:right w:val="dotted" w:color="auto" w:sz="8" w:space="0"/>
            </w:tcBorders>
            <w:shd w:val="clear" w:color="auto" w:fill="F7964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dotted" w:color="auto" w:sz="12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2件</w:t>
            </w:r>
          </w:p>
        </w:tc>
        <w:tc>
          <w:tcPr>
            <w:tcW w:w="1793" w:type="dxa"/>
            <w:tcBorders>
              <w:top w:val="dotted" w:color="auto" w:sz="12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1件</w:t>
            </w:r>
          </w:p>
        </w:tc>
        <w:tc>
          <w:tcPr>
            <w:tcW w:w="1605" w:type="dxa"/>
            <w:tcBorders>
              <w:top w:val="dotted" w:color="auto" w:sz="12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2件</w:t>
            </w:r>
          </w:p>
        </w:tc>
        <w:tc>
          <w:tcPr>
            <w:tcW w:w="2805" w:type="dxa"/>
            <w:tcBorders>
              <w:top w:val="dotted" w:color="auto" w:sz="12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133件</w:t>
            </w:r>
          </w:p>
        </w:tc>
        <w:tc>
          <w:tcPr>
            <w:tcW w:w="969" w:type="dxa"/>
            <w:tcBorders>
              <w:top w:val="dotted" w:color="auto" w:sz="12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CBFE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1.44%</w:t>
            </w:r>
          </w:p>
        </w:tc>
        <w:tc>
          <w:tcPr>
            <w:tcW w:w="179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0.72%</w:t>
            </w:r>
          </w:p>
        </w:tc>
        <w:tc>
          <w:tcPr>
            <w:tcW w:w="16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1.44%</w:t>
            </w:r>
          </w:p>
        </w:tc>
        <w:tc>
          <w:tcPr>
            <w:tcW w:w="28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95.68%</w:t>
            </w:r>
          </w:p>
        </w:tc>
        <w:tc>
          <w:tcPr>
            <w:tcW w:w="96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55A11" w:themeColor="accent2" w:themeShade="BF"/>
                <w:sz w:val="28"/>
                <w:szCs w:val="28"/>
                <w:vertAlign w:val="baseline"/>
                <w:lang w:val="en-US" w:eastAsia="zh-CN"/>
              </w:rPr>
              <w:t>0.72%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rPr>
          <w:rFonts w:hint="eastAsia" w:ascii="楷体" w:hAnsi="楷体" w:eastAsia="楷体" w:cs="楷体"/>
          <w:b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（三）按查办地域分：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2018年度自治区级共计办结案件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件；</w:t>
      </w:r>
      <w:r>
        <w:rPr>
          <w:rFonts w:hint="eastAsia" w:ascii="仿宋_GB2312" w:eastAsia="仿宋_GB2312"/>
          <w:sz w:val="32"/>
          <w:szCs w:val="32"/>
        </w:rPr>
        <w:t>银川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59.61</w:t>
      </w:r>
      <w:r>
        <w:rPr>
          <w:rFonts w:hint="eastAsia" w:ascii="仿宋_GB2312" w:eastAsia="仿宋_GB2312"/>
          <w:sz w:val="32"/>
          <w:szCs w:val="32"/>
        </w:rPr>
        <w:t>万元；石嘴山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27.05</w:t>
      </w:r>
      <w:r>
        <w:rPr>
          <w:rFonts w:hint="eastAsia" w:ascii="仿宋_GB2312" w:eastAsia="仿宋_GB2312"/>
          <w:sz w:val="32"/>
          <w:szCs w:val="32"/>
        </w:rPr>
        <w:t>万元；吴忠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24.2</w:t>
      </w:r>
      <w:r>
        <w:rPr>
          <w:rFonts w:hint="eastAsia" w:ascii="仿宋_GB2312" w:eastAsia="仿宋_GB2312"/>
          <w:sz w:val="32"/>
          <w:szCs w:val="32"/>
        </w:rPr>
        <w:t>万元；固原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（含县级）共计办理案件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36.11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中卫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22.27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5" w:type="default"/>
          <w:pgSz w:w="11850" w:h="16783"/>
          <w:pgMar w:top="2098" w:right="1474" w:bottom="1984" w:left="1587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15318" w:type="dxa"/>
        <w:tblInd w:w="-4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780"/>
        <w:gridCol w:w="1545"/>
        <w:gridCol w:w="4710"/>
        <w:gridCol w:w="885"/>
        <w:gridCol w:w="1380"/>
        <w:gridCol w:w="900"/>
        <w:gridCol w:w="915"/>
        <w:gridCol w:w="840"/>
        <w:gridCol w:w="810"/>
        <w:gridCol w:w="825"/>
        <w:gridCol w:w="8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531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表7：全区各市、县（区）市场监督管理局2018年1-12月份办结“两品一械”违法案件统计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47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16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91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8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82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83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139.94</w:t>
            </w:r>
          </w:p>
        </w:tc>
        <w:tc>
          <w:tcPr>
            <w:tcW w:w="4710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自治区食品药品监督管理局</w:t>
            </w:r>
          </w:p>
        </w:tc>
        <w:tc>
          <w:tcPr>
            <w:tcW w:w="88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bottom w:val="single" w:color="auto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139.94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139.94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000000" w:sz="12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vMerge w:val="restart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59.61</w:t>
            </w:r>
          </w:p>
        </w:tc>
        <w:tc>
          <w:tcPr>
            <w:tcW w:w="471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23.9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9.63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12.84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银川市市场监督管理局兴庆一分局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9.13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银川市市场监督管理局兴庆二分局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11.38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银川市市场监督管理局金凤区分局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银川市市场监督管理局西夏区分局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27.05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石嘴山市市场监督管理局大武口分局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7.94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石嘴山市市场监督管理局惠农分局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17.45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吴忠市市场监督管理局利通区分局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吴忠市市场监督管理局红寺堡分局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36.11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23.61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16.71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固原市市场监督管理局原州一分局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固原市市场监督管理局原州二分局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固原市市场监督管理局开发区分局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5.87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22.27</w:t>
            </w:r>
          </w:p>
        </w:tc>
        <w:tc>
          <w:tcPr>
            <w:tcW w:w="47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中卫市市场监督管理局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7.67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9.64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海原县市场监督管理局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309.18</w:t>
            </w:r>
          </w:p>
        </w:tc>
        <w:tc>
          <w:tcPr>
            <w:tcW w:w="4710" w:type="dxa"/>
            <w:tcBorders>
              <w:top w:val="single" w:color="auto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auto" w:sz="12" w:space="0"/>
              <w:right w:val="single" w:color="000000" w:sz="12" w:space="0"/>
              <w:tl2br w:val="nil"/>
              <w:tr2bl w:val="nil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309.18 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242.67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58.11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6783" w:h="11850" w:orient="landscape"/>
          <w:pgMar w:top="1440" w:right="1080" w:bottom="1440" w:left="1080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2018年全区查办“两品一械”一般程序行政违法案件的单位中：药品类案件零查办的单位有2个，医疗器械类案件零查办的单位有17个，化妆品类案件零查办的单位有15个。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2018年度全区办结“两品一械”简易程序案件情况见下表：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表8：2018年度全区办结“两品一械”简易程序案件统计</w:t>
      </w:r>
    </w:p>
    <w:tbl>
      <w:tblPr>
        <w:tblStyle w:val="7"/>
        <w:tblW w:w="9484" w:type="dxa"/>
        <w:jc w:val="center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915"/>
        <w:gridCol w:w="1020"/>
        <w:gridCol w:w="840"/>
        <w:gridCol w:w="840"/>
        <w:gridCol w:w="88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139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案件数</w:t>
            </w:r>
          </w:p>
        </w:tc>
        <w:tc>
          <w:tcPr>
            <w:tcW w:w="1020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罚没款（万元）</w:t>
            </w:r>
          </w:p>
        </w:tc>
        <w:tc>
          <w:tcPr>
            <w:tcW w:w="168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药品</w:t>
            </w:r>
          </w:p>
        </w:tc>
        <w:tc>
          <w:tcPr>
            <w:tcW w:w="173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139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案件数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罚没款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案件数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0504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FFFFFF" w:themeColor="background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罚没款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银川市市场监督管理局兴庆一分局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1.25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1.25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银川市市场监督管理局金凤区分局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0.7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0.7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银川市市场监督管理局西夏区分局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1.68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1.68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永宁县市场监督管理局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0.4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0.4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石嘴山市市场监督管理局大武口区分局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0.51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0.51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平罗县市场监督管理局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0.02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0.02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石嘴山市市场监督管理局惠农区分局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0.4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0.4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同心县市场监督管理局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0.5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0.5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泾源县市场监督管理局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彭阳县市场监督管理局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0.15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0.15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中卫市市场监督管理局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0.86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0.86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中宁县市场监督管理局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B05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0.2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0.2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139</w:t>
            </w: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shd w:val="clear" w:color="auto" w:fill="auto"/>
                <w:vertAlign w:val="baseline"/>
                <w:lang w:val="en-US" w:eastAsia="zh-CN" w:bidi="ar"/>
              </w:rPr>
              <w:t>6.67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6.67</w:t>
            </w:r>
          </w:p>
        </w:tc>
        <w:tc>
          <w:tcPr>
            <w:tcW w:w="8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4E9E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C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三、药品类违法案件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2018年度全区共计办结药品类一般程序案件222件（含较大案件1件，重大案件1件），</w:t>
      </w:r>
      <w:r>
        <w:rPr>
          <w:rFonts w:hint="eastAsia" w:ascii="仿宋" w:hAnsi="仿宋" w:eastAsia="仿宋" w:cs="仿宋"/>
          <w:sz w:val="32"/>
          <w:szCs w:val="32"/>
        </w:rPr>
        <w:t>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下降3.48</w:t>
      </w:r>
      <w:r>
        <w:rPr>
          <w:rFonts w:hint="eastAsia" w:ascii="仿宋" w:hAnsi="仿宋" w:eastAsia="仿宋" w:cs="仿宋"/>
          <w:sz w:val="32"/>
          <w:szCs w:val="32"/>
        </w:rPr>
        <w:t>%，货值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83.22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增长98.62</w:t>
      </w:r>
      <w:r>
        <w:rPr>
          <w:rFonts w:hint="eastAsia" w:ascii="仿宋" w:hAnsi="仿宋" w:eastAsia="仿宋" w:cs="仿宋"/>
          <w:sz w:val="32"/>
          <w:szCs w:val="32"/>
        </w:rPr>
        <w:t>%，收缴罚没款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242.67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增长58.94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表9:2018年度全区药品类一般程序案件办理情况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364480" cy="3668395"/>
            <wp:effectExtent l="4445" t="4445" r="22225" b="2286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查处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生产、销售假药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类一般程序案件39件（假药案件29件、以假药论处案件10件），货值（案值）金额12.12万元，收缴罚没款共计11.48万元；查处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生产、销售劣药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类一般程序案件86件（劣药案件53件、以劣药论处案件33件），货值（案值）金额16.51万元，收缴罚没款共计37.68万元。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表10:2018年度全区假、劣药品一般程序案件办理情况</w:t>
      </w:r>
    </w:p>
    <w:tbl>
      <w:tblPr>
        <w:tblStyle w:val="6"/>
        <w:tblW w:w="87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70"/>
        <w:gridCol w:w="3000"/>
        <w:gridCol w:w="1170"/>
        <w:gridCol w:w="145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886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案件类别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案件数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案值（万元）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罚没款（万元）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生产假药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9.77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按假药论处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销售假药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假药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按假药论处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1.15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生产劣药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3.18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按劣药论处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销售劣药</w:t>
            </w: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劣药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按劣药论处</w:t>
            </w:r>
          </w:p>
        </w:tc>
        <w:tc>
          <w:tcPr>
            <w:tcW w:w="117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2.63</w:t>
            </w:r>
          </w:p>
        </w:tc>
        <w:tc>
          <w:tcPr>
            <w:tcW w:w="126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12.81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2018年度全区共计办结药品简易程序案件137件，货值（案值）金额0.05万元，收缴罚没款共计6.67万元。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度全区办结的222件药品类一般程序案件中来源于投诉举报14件，占药品类一般程序案件的6.31%；来源于监督抽验82件，占药品类一般程序案件的36.94%；来源于执法检验10件，占药品类一般程序案件的4.5%；来源于日常监管和专项检查102件，占药品类一般程序案件的45.95%；来源于其他部门通报5件，占药品类一般程序案件的2.25%；来源于其他类别9件，占药品类一般程序案件的4.05%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表11:2018年度药品一般程序案件来源统计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687695" cy="3924300"/>
            <wp:effectExtent l="4445" t="4445" r="22860" b="1460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2018年度全区办理的137件药品类简易程序案件中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来源于投诉举报1件，占药品类简易程序案件的0.73%；来源于监督抽验1件，占药品类简易程序案件的0.73%；来源于执法检验2件，占药品类简易程序案件的1.46%；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来源于日常监管和专项检查132件，占药品类简易程序案件的96.35%；来源于其他类别1件，占药品简易程序案件的0.73%。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表12：2018年度药品类简易程序违法案件来源统计</w:t>
      </w:r>
    </w:p>
    <w:tbl>
      <w:tblPr>
        <w:tblStyle w:val="7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2072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  <w:t>案件来源</w:t>
            </w:r>
          </w:p>
        </w:tc>
        <w:tc>
          <w:tcPr>
            <w:tcW w:w="20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  <w:t>案件数</w:t>
            </w:r>
          </w:p>
        </w:tc>
        <w:tc>
          <w:tcPr>
            <w:tcW w:w="300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  <w:vertAlign w:val="baseline"/>
                <w:lang w:val="en-US" w:eastAsia="zh-CN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投诉举报</w:t>
            </w:r>
          </w:p>
        </w:tc>
        <w:tc>
          <w:tcPr>
            <w:tcW w:w="207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监督抽验</w:t>
            </w:r>
          </w:p>
        </w:tc>
        <w:tc>
          <w:tcPr>
            <w:tcW w:w="207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执法检验</w:t>
            </w:r>
          </w:p>
        </w:tc>
        <w:tc>
          <w:tcPr>
            <w:tcW w:w="207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93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日常监管和专项检查</w:t>
            </w:r>
          </w:p>
        </w:tc>
        <w:tc>
          <w:tcPr>
            <w:tcW w:w="207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300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0E3E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96.35%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207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E9F1F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2060"/>
                <w:sz w:val="32"/>
                <w:szCs w:val="32"/>
                <w:vertAlign w:val="baseline"/>
                <w:lang w:val="en-US" w:eastAsia="zh-CN"/>
              </w:rPr>
              <w:t>0.73%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2018年度全区办结的222件药品类一般程序违法案件中违法主体为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的违法案件12件，占全部药品类一般程序违法案件的5.41%；违法主体为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的违法案件124件，占全部药品类一般程序违法案件的55.86%；违法主体为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的违法案件69件，占全部药品类一般程序违法案件的31.08%；违法主体为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类别的违法案件17件，占全部药品类一般程序违法案件的7.65%。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表13：2018年度全区药品类一般程序案件违法主体统计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88280" cy="3628390"/>
            <wp:effectExtent l="4445" t="4445" r="22225" b="57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2018年度全区办结的137件药品类简易程序违法案件中违法主体为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的违法案件101件，占全部药品类简易程序违法案件的73.72%；违法主体为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的违法案件4件，占全部药品类简易程序违法案件的2.92%；违法主体为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类别的违法案件32件，占全部药品类简易程序违法案件的23.36%。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表14：2018年度全区药品类简易程序案件违法主体统计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83480" cy="4000500"/>
            <wp:effectExtent l="5080" t="4445" r="21590" b="146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四、医疗器械类违法案件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全区共计办结医疗器械类一般程序案件29件（重大案件2件），</w:t>
      </w:r>
      <w:r>
        <w:rPr>
          <w:rFonts w:hint="eastAsia" w:ascii="仿宋" w:hAnsi="仿宋" w:eastAsia="仿宋" w:cs="仿宋"/>
          <w:sz w:val="32"/>
          <w:szCs w:val="32"/>
        </w:rPr>
        <w:t>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%；货值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2.85</w:t>
      </w:r>
      <w:r>
        <w:rPr>
          <w:rFonts w:hint="eastAsia" w:ascii="仿宋" w:hAnsi="仿宋" w:eastAsia="仿宋" w:cs="仿宋"/>
          <w:sz w:val="32"/>
          <w:szCs w:val="32"/>
        </w:rPr>
        <w:t>万元，同比增长1.7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倍，收缴罚没款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58.11</w:t>
      </w:r>
      <w:r>
        <w:rPr>
          <w:rFonts w:hint="eastAsia" w:ascii="仿宋" w:hAnsi="仿宋" w:eastAsia="仿宋" w:cs="仿宋"/>
          <w:sz w:val="32"/>
          <w:szCs w:val="32"/>
        </w:rPr>
        <w:t>万元，同比下降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49.96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表15:2018年度全区医疗器械类一般程序案件办理情况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440045" cy="3314065"/>
            <wp:effectExtent l="4445" t="4445" r="22860" b="152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度全区办结的29件医疗器械类一般程序案件中来源于监督抽验4件，占医疗器械类一般程序案件的13.79%；来源于执法检验2件，占医疗器械类一般程序案件的6.9%；来源于日常监管和专项检查18件，占医疗器械类一般程序案件的62.07%，来源于其他部门通报4件，占医疗器械类一般程序案件的13.79%；来源于其他类别1件，占医疗器械类一般程序案件的3.45%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表16:2018年度医疗器械类一般程序案件来源统计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80660" cy="4327525"/>
            <wp:effectExtent l="4445" t="4445" r="10795" b="1143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2018年度全区办结的29件医疗器械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一般程序违法案件中违法主体为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的违法案件1件，占全部医疗器械类一般程序违法案件的3.45%；违法主体为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的违法案件11件，占全部医疗器械类一般程序违法案件的37.93%；违法主体为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的违法案件16件，占全部医疗器械类一般程序违法案件的55.17%；违法主体为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类别的违法案件1件，占全部医疗器械类一般程序违法案件的3.45%。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表17：2018年度全区医疗器械类一般程序案件违法主体统计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080000" cy="3810000"/>
            <wp:effectExtent l="4445" t="4445" r="20955" b="1460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五、化妆品类违法案件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全区共计办结化妆品类一般程序案件41件，</w:t>
      </w:r>
      <w:r>
        <w:rPr>
          <w:rFonts w:hint="eastAsia" w:ascii="仿宋" w:hAnsi="仿宋" w:eastAsia="仿宋" w:cs="仿宋"/>
          <w:sz w:val="32"/>
          <w:szCs w:val="32"/>
        </w:rPr>
        <w:t>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41.38</w:t>
      </w:r>
      <w:r>
        <w:rPr>
          <w:rFonts w:hint="eastAsia" w:ascii="仿宋" w:hAnsi="仿宋" w:eastAsia="仿宋" w:cs="仿宋"/>
          <w:sz w:val="32"/>
          <w:szCs w:val="32"/>
        </w:rPr>
        <w:t>%，货值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3.56</w:t>
      </w:r>
      <w:r>
        <w:rPr>
          <w:rFonts w:hint="eastAsia" w:ascii="仿宋" w:hAnsi="仿宋" w:eastAsia="仿宋" w:cs="仿宋"/>
          <w:sz w:val="32"/>
          <w:szCs w:val="32"/>
        </w:rPr>
        <w:t>万元，同比增长2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.39</w:t>
      </w:r>
      <w:r>
        <w:rPr>
          <w:rFonts w:hint="eastAsia" w:ascii="仿宋" w:hAnsi="仿宋" w:eastAsia="仿宋" w:cs="仿宋"/>
          <w:sz w:val="32"/>
          <w:szCs w:val="32"/>
        </w:rPr>
        <w:t>倍，收缴罚没款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8.4</w:t>
      </w:r>
      <w:r>
        <w:rPr>
          <w:rFonts w:hint="eastAsia" w:ascii="仿宋" w:hAnsi="仿宋" w:eastAsia="仿宋" w:cs="仿宋"/>
          <w:sz w:val="32"/>
          <w:szCs w:val="32"/>
        </w:rPr>
        <w:t>万元，同比增长2.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表18:2018年度全区化妆品一般程序案件办理情况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088890" cy="3429000"/>
            <wp:effectExtent l="4445" t="4445" r="12065" b="14605"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2018年度全区办结化妆品类简易程序2件，货值（案值）金额0.06万元，收缴罚没款0元。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2018年度全区办结的41件化妆品类一般程序案件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来源于投诉举报3件，占化妆品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一般程序案件的6.25%；来源于监督抽验13件，占化妆品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一般程序案件的6.25%；来源于执法检验5件，占化妆品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一般程序案件的31.25%；来源于日常监管和专项检查20件，占化妆品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一般程序案件的56.25%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表19:2018年度化妆品类一般程序案件来源统计</w:t>
      </w:r>
    </w:p>
    <w:tbl>
      <w:tblPr>
        <w:tblStyle w:val="6"/>
        <w:tblW w:w="8741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237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案件来源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案件数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  <w:tl2br w:val="nil"/>
              <w:tr2bl w:val="nil"/>
            </w:tcBorders>
            <w:shd w:val="clear" w:color="auto" w:fill="9BBB5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32"/>
                <w:szCs w:val="32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881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投诉举报</w:t>
            </w:r>
          </w:p>
        </w:tc>
        <w:tc>
          <w:tcPr>
            <w:tcW w:w="2370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3</w:t>
            </w:r>
          </w:p>
        </w:tc>
        <w:tc>
          <w:tcPr>
            <w:tcW w:w="2490" w:type="dxa"/>
            <w:tcBorders>
              <w:top w:val="single" w:color="FFFFFF" w:sz="4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7.31%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监督抽验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13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31.71%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执法检验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5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D7E3B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12.20%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日常监管和专项检查</w:t>
            </w:r>
          </w:p>
        </w:tc>
        <w:tc>
          <w:tcPr>
            <w:tcW w:w="23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20</w:t>
            </w:r>
          </w:p>
        </w:tc>
        <w:tc>
          <w:tcPr>
            <w:tcW w:w="249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6000" w:themeColor="accent4" w:themeShade="80"/>
                <w:sz w:val="32"/>
                <w:szCs w:val="32"/>
              </w:rPr>
              <w:t>48.78%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2018年全区办结的2件化妆品类简易程序案件来源于投诉举报1件，来源于日常监管和专项检查1件。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（三）查办违法环节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2018年度全区办结的41件化妆品类一般程序违法案件中违法主体为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的违法案件32件，占全部化妆品类一般程序违法案件的78.05%；违法主体为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美容美发机构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的违法案件7件，占全部化妆品类一般程序违法案件的17.07%；违法主体为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类别的违法案件2件，占全部化妆品类一般程序违法案件的4.88%。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表20：2018年度全区化妆品一般程序案件违法主体统计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080000" cy="3810000"/>
            <wp:effectExtent l="4445" t="4445" r="20955" b="14605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2、简易程序案件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2018年度全区办结的2件化妆品简易程序违法案件的违法均发生在经营环节，主体均为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经营企业和经营单位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sectPr>
      <w:pgSz w:w="11850" w:h="16783"/>
      <w:pgMar w:top="2098" w:right="1474" w:bottom="1984" w:left="1587" w:header="851" w:footer="992" w:gutter="0"/>
      <w:pgBorders>
        <w:top w:val="pushPinNote1" w:color="auto" w:sz="31" w:space="1"/>
        <w:left w:val="pushPinNote1" w:color="auto" w:sz="31" w:space="4"/>
        <w:bottom w:val="pushPinNote1" w:color="auto" w:sz="31" w:space="1"/>
        <w:right w:val="pushPinNote1" w:color="auto" w:sz="31" w:space="4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roman"/>
    <w:pitch w:val="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8xIuas0BAAB6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15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7464"/>
    <w:multiLevelType w:val="singleLevel"/>
    <w:tmpl w:val="7F2174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494C"/>
    <w:rsid w:val="003B4EBA"/>
    <w:rsid w:val="005E0893"/>
    <w:rsid w:val="00E51F1B"/>
    <w:rsid w:val="00F86C82"/>
    <w:rsid w:val="03616E85"/>
    <w:rsid w:val="054073BF"/>
    <w:rsid w:val="06E85E47"/>
    <w:rsid w:val="07790DD1"/>
    <w:rsid w:val="08951926"/>
    <w:rsid w:val="0B6267F2"/>
    <w:rsid w:val="0C42695A"/>
    <w:rsid w:val="0D387852"/>
    <w:rsid w:val="0E741288"/>
    <w:rsid w:val="0F952248"/>
    <w:rsid w:val="0FE84755"/>
    <w:rsid w:val="1100192B"/>
    <w:rsid w:val="1375538B"/>
    <w:rsid w:val="140E77C1"/>
    <w:rsid w:val="14D34CA7"/>
    <w:rsid w:val="16672967"/>
    <w:rsid w:val="16F72B76"/>
    <w:rsid w:val="170E2FBA"/>
    <w:rsid w:val="17A96668"/>
    <w:rsid w:val="17F565A4"/>
    <w:rsid w:val="188246C2"/>
    <w:rsid w:val="196A2109"/>
    <w:rsid w:val="1CFE76D9"/>
    <w:rsid w:val="1DAB14F8"/>
    <w:rsid w:val="200E4D03"/>
    <w:rsid w:val="23A52C42"/>
    <w:rsid w:val="24291019"/>
    <w:rsid w:val="25614263"/>
    <w:rsid w:val="25922D52"/>
    <w:rsid w:val="27EE49A6"/>
    <w:rsid w:val="291A2BF7"/>
    <w:rsid w:val="2C5C13B3"/>
    <w:rsid w:val="2DB21E50"/>
    <w:rsid w:val="2E070CCD"/>
    <w:rsid w:val="2EC777AF"/>
    <w:rsid w:val="3014253F"/>
    <w:rsid w:val="303C6030"/>
    <w:rsid w:val="30BE761E"/>
    <w:rsid w:val="3343198C"/>
    <w:rsid w:val="3643622F"/>
    <w:rsid w:val="371845DA"/>
    <w:rsid w:val="39C82CB1"/>
    <w:rsid w:val="3AC81F99"/>
    <w:rsid w:val="3ADF06C6"/>
    <w:rsid w:val="3BB03674"/>
    <w:rsid w:val="40A54C87"/>
    <w:rsid w:val="446708E9"/>
    <w:rsid w:val="44DF1CFA"/>
    <w:rsid w:val="450A29DE"/>
    <w:rsid w:val="46785A4E"/>
    <w:rsid w:val="4849103C"/>
    <w:rsid w:val="48985E80"/>
    <w:rsid w:val="48E33F27"/>
    <w:rsid w:val="491E7836"/>
    <w:rsid w:val="4B3E1725"/>
    <w:rsid w:val="4B687987"/>
    <w:rsid w:val="4EA5244E"/>
    <w:rsid w:val="4F104474"/>
    <w:rsid w:val="4F4B645F"/>
    <w:rsid w:val="5A5D2CB6"/>
    <w:rsid w:val="5A8A1542"/>
    <w:rsid w:val="5B1E23E7"/>
    <w:rsid w:val="5BB9526C"/>
    <w:rsid w:val="5D03521B"/>
    <w:rsid w:val="5F1442A2"/>
    <w:rsid w:val="5F65720A"/>
    <w:rsid w:val="603E0135"/>
    <w:rsid w:val="608D5895"/>
    <w:rsid w:val="65196835"/>
    <w:rsid w:val="65B23CF9"/>
    <w:rsid w:val="6727015D"/>
    <w:rsid w:val="68957197"/>
    <w:rsid w:val="69AE083F"/>
    <w:rsid w:val="6BE6796C"/>
    <w:rsid w:val="6C1966AF"/>
    <w:rsid w:val="6F0833DD"/>
    <w:rsid w:val="6F690509"/>
    <w:rsid w:val="73093893"/>
    <w:rsid w:val="73725B24"/>
    <w:rsid w:val="75E8030E"/>
    <w:rsid w:val="785963F0"/>
    <w:rsid w:val="794D4C86"/>
    <w:rsid w:val="7C8F7A5B"/>
    <w:rsid w:val="7F3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chart" Target="charts/chart13.xml"/><Relationship Id="rId2" Type="http://schemas.openxmlformats.org/officeDocument/2006/relationships/settings" Target="settings.xml"/><Relationship Id="rId19" Type="http://schemas.openxmlformats.org/officeDocument/2006/relationships/chart" Target="charts/chart12.xml"/><Relationship Id="rId18" Type="http://schemas.openxmlformats.org/officeDocument/2006/relationships/chart" Target="charts/chart11.xml"/><Relationship Id="rId17" Type="http://schemas.openxmlformats.org/officeDocument/2006/relationships/chart" Target="charts/chart10.xml"/><Relationship Id="rId16" Type="http://schemas.openxmlformats.org/officeDocument/2006/relationships/chart" Target="charts/chart9.xml"/><Relationship Id="rId15" Type="http://schemas.openxmlformats.org/officeDocument/2006/relationships/chart" Target="charts/chart8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1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3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9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10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5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8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7.xml.rels><?xml version="1.0" encoding="UTF-8" standalone="yes"?>
<Relationships xmlns="http://schemas.openxmlformats.org/package/2006/relationships"><Relationship Id="rId5" Type="http://schemas.microsoft.com/office/2011/relationships/chartColorStyle" Target="colors6.xml"/><Relationship Id="rId4" Type="http://schemas.microsoft.com/office/2011/relationships/chartStyle" Target="style6.xml"/><Relationship Id="rId3" Type="http://schemas.openxmlformats.org/officeDocument/2006/relationships/image" Target="../media/image2.png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6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620648259303722"/>
          <c:y val="0.0153143817545052"/>
          <c:w val="0.894237695078031"/>
          <c:h val="0.8210823909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gradFill>
              <a:gsLst>
                <a:gs pos="75000">
                  <a:srgbClr val="78AC42">
                    <a:alpha val="100000"/>
                  </a:srgbClr>
                </a:gs>
                <a:gs pos="0">
                  <a:srgbClr val="9EE256"/>
                </a:gs>
                <a:gs pos="100000">
                  <a:srgbClr val="52762D"/>
                </a:gs>
              </a:gsLst>
              <a:path path="shape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2017年度</c:v>
                </c:pt>
                <c:pt idx="1" c:formatCode="yyyy&quot;年&quot;m&quot;月&quot;">
                  <c:v>2018年度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284</c:v>
                </c:pt>
                <c:pt idx="1">
                  <c:v>292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gradFill>
              <a:gsLst>
                <a:gs pos="80000">
                  <a:srgbClr val="C13838">
                    <a:alpha val="100000"/>
                  </a:srgbClr>
                </a:gs>
                <a:gs pos="0">
                  <a:srgbClr val="FE4444"/>
                </a:gs>
                <a:gs pos="100000">
                  <a:srgbClr val="832B2B"/>
                </a:gs>
              </a:gsLst>
              <a:path path="rect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2017年度</c:v>
                </c:pt>
                <c:pt idx="1" c:formatCode="yyyy&quot;年&quot;m&quot;月&quot;">
                  <c:v>2018年度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271.37</c:v>
                </c:pt>
                <c:pt idx="1">
                  <c:v>309.18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gradFill>
              <a:gsLst>
                <a:gs pos="95000">
                  <a:srgbClr val="C19E31">
                    <a:alpha val="100000"/>
                  </a:srgbClr>
                </a:gs>
                <a:gs pos="0">
                  <a:srgbClr val="FECF40"/>
                </a:gs>
                <a:gs pos="100000">
                  <a:srgbClr val="846C21"/>
                </a:gs>
              </a:gsLst>
              <a:path path="rect">
                <a:fillToRect l="50000" t="50000" r="50000" b="50000"/>
              </a:path>
              <a:tileRect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2017年度</c:v>
                </c:pt>
                <c:pt idx="1" c:formatCode="yyyy&quot;年&quot;m&quot;月&quot;">
                  <c:v>2018年度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198.59</c:v>
                </c:pt>
                <c:pt idx="1">
                  <c:v>509.63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5685215"/>
        <c:axId val="314721144"/>
      </c:barChart>
      <c:dateAx>
        <c:axId val="215685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14721144"/>
        <c:crosses val="autoZero"/>
        <c:auto val="1"/>
        <c:lblAlgn val="ctr"/>
        <c:lblOffset val="100"/>
        <c:baseTimeUnit val="days"/>
      </c:dateAx>
      <c:valAx>
        <c:axId val="314721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15685215"/>
        <c:crosses val="autoZero"/>
        <c:crossBetween val="between"/>
      </c:valAx>
      <c:spPr>
        <a:pattFill prst="pct25">
          <a:fgClr>
            <a:srgbClr val="5B9BD5"/>
          </a:fgClr>
          <a:bgClr>
            <a:sysClr val="window" lastClr="FFFFFF"/>
          </a:bgClr>
        </a:pattFill>
        <a:ln w="25400">
          <a:noFill/>
        </a:ln>
        <a:effectLst>
          <a:glow rad="63500">
            <a:srgbClr val="4472C4">
              <a:satMod val="175000"/>
              <a:alpha val="40000"/>
            </a:srgbClr>
          </a:glow>
          <a:innerShdw blurRad="63500" dist="50800" dir="18900000">
            <a:prstClr val="black">
              <a:alpha val="50000"/>
            </a:prstClr>
          </a:innerShdw>
          <a:softEdge rad="31750"/>
        </a:effectLst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0240096038415"/>
          <c:y val="0.9216337697869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9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70625"/>
          <c:y val="0.005"/>
          <c:w val="0.638375"/>
          <c:h val="0.851166666666667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ln w="25400">
              <a:solidFill>
                <a:schemeClr val="lt1"/>
              </a:solidFill>
            </a:ln>
          </c:spPr>
          <c:explosion val="0"/>
          <c:dPt>
            <c:idx val="0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3541A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206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监督抽验</c:v>
                </c:pt>
                <c:pt idx="1">
                  <c:v>执法检验</c:v>
                </c:pt>
                <c:pt idx="2">
                  <c:v>日常监管和专项检查</c:v>
                </c:pt>
                <c:pt idx="3">
                  <c:v>其他部门通报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ln w="34925">
              <a:solidFill>
                <a:schemeClr val="lt1"/>
              </a:solidFill>
            </a:ln>
          </c:spPr>
          <c:explosion val="0"/>
          <c:dPt>
            <c:idx val="0"/>
            <c:bubble3D val="0"/>
            <c:spPr>
              <a:solidFill>
                <a:srgbClr val="00B0F0"/>
              </a:solidFill>
              <a:ln w="34925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2D050"/>
              </a:solidFill>
              <a:ln w="34925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3541A"/>
              </a:solidFill>
              <a:ln w="34925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34925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34925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206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监督抽验</c:v>
                </c:pt>
                <c:pt idx="1">
                  <c:v>执法检验</c:v>
                </c:pt>
                <c:pt idx="2">
                  <c:v>日常监管和专项检查</c:v>
                </c:pt>
                <c:pt idx="3">
                  <c:v>其他部门通报</c:v>
                </c:pt>
                <c:pt idx="4">
                  <c:v>其他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0.1379</c:v>
                </c:pt>
                <c:pt idx="1">
                  <c:v>0.069</c:v>
                </c:pt>
                <c:pt idx="2">
                  <c:v>0.6207</c:v>
                </c:pt>
                <c:pt idx="3">
                  <c:v>0.1379</c:v>
                </c:pt>
                <c:pt idx="4">
                  <c:v>0.0345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4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rgbClr val="FECF40"/>
                  </a:gs>
                  <a:gs pos="100000">
                    <a:srgbClr val="846C21"/>
                  </a:gs>
                </a:gsLst>
                <a:lin ang="5400000" scaled="0"/>
              </a:gradFill>
              <a:ln>
                <a:noFill/>
              </a:ln>
              <a:effectLst>
                <a:glow rad="63500">
                  <a:srgbClr val="FFC000">
                    <a:alpha val="40000"/>
                  </a:srgbClr>
                </a:glow>
              </a:effectLst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rgbClr val="14CD68"/>
                  </a:gs>
                  <a:gs pos="100000">
                    <a:srgbClr val="0B6E38"/>
                  </a:gs>
                </a:gsLst>
                <a:lin ang="5400000" scaled="0"/>
              </a:gradFill>
              <a:ln>
                <a:noFill/>
              </a:ln>
              <a:effectLst>
                <a:glow rad="63500">
                  <a:srgbClr val="00B050">
                    <a:alpha val="40000"/>
                  </a:srgbClr>
                </a:glow>
              </a:effectLst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rgbClr val="007BD3"/>
                  </a:gs>
                  <a:gs pos="100000">
                    <a:srgbClr val="034373"/>
                  </a:gs>
                </a:gsLst>
                <a:lin ang="5400000" scaled="0"/>
              </a:gradFill>
              <a:ln>
                <a:noFill/>
              </a:ln>
              <a:effectLst>
                <a:glow rad="63500">
                  <a:srgbClr val="0070C0">
                    <a:alpha val="40000"/>
                  </a:srgbClr>
                </a:glow>
              </a:effectLst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rgbClr val="7B32B2"/>
                  </a:gs>
                  <a:gs pos="100000">
                    <a:srgbClr val="401A5D"/>
                  </a:gs>
                </a:gsLst>
                <a:lin ang="5400000" scaled="0"/>
              </a:gradFill>
              <a:ln>
                <a:noFill/>
              </a:ln>
              <a:effectLst>
                <a:glow rad="63500">
                  <a:srgbClr val="7030A0">
                    <a:alpha val="40000"/>
                  </a:srgbClr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2">
                        <a:lumMod val="50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生产企业</c:v>
                </c:pt>
                <c:pt idx="1">
                  <c:v>经营企业</c:v>
                </c:pt>
                <c:pt idx="2">
                  <c:v>医疗机构</c:v>
                </c:pt>
                <c:pt idx="3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11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60624630"/>
        <c:axId val="883180280"/>
      </c:barChart>
      <c:catAx>
        <c:axId val="60624630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883180280"/>
        <c:crosses val="autoZero"/>
        <c:auto val="1"/>
        <c:lblAlgn val="ctr"/>
        <c:lblOffset val="100"/>
        <c:noMultiLvlLbl val="0"/>
      </c:catAx>
      <c:valAx>
        <c:axId val="883180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5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6062463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46568505116"/>
          <c:y val="0.027037037037037"/>
          <c:w val="0.786373845769903"/>
          <c:h val="0.7783333333333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pattFill prst="narVert">
              <a:fgClr>
                <a:srgbClr val="00B050"/>
              </a:fgClr>
              <a:bgClr>
                <a:schemeClr val="accent6">
                  <a:lumMod val="40000"/>
                  <a:lumOff val="60000"/>
                </a:schemeClr>
              </a:bgClr>
            </a:pattFill>
            <a:ln>
              <a:noFill/>
            </a:ln>
            <a:effectLst>
              <a:glow rad="63500">
                <a:schemeClr val="accent6">
                  <a:satMod val="175000"/>
                  <a:alpha val="40000"/>
                </a:schemeClr>
              </a:glow>
              <a:innerShdw blurRad="114300">
                <a:schemeClr val="accent6">
                  <a:lumMod val="40000"/>
                  <a:lumOff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7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29</c:v>
                </c:pt>
                <c:pt idx="1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pattFill prst="narVert">
              <a:fgClr>
                <a:srgbClr val="7030A0"/>
              </a:fgClr>
              <a:bgClr>
                <a:srgbClr val="CBABFC"/>
              </a:bgClr>
            </a:pattFill>
            <a:ln>
              <a:noFill/>
            </a:ln>
            <a:effectLst>
              <a:glow rad="63500">
                <a:srgbClr val="7030A0">
                  <a:alpha val="40000"/>
                </a:srgbClr>
              </a:glow>
              <a:innerShdw blurRad="114300">
                <a:srgbClr val="CBABFC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1.05</c:v>
                </c:pt>
                <c:pt idx="1">
                  <c:v>3.56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pattFill prst="narVert">
              <a:fgClr>
                <a:srgbClr val="F3541A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glow rad="63500">
                <a:schemeClr val="accent2">
                  <a:satMod val="175000"/>
                  <a:alpha val="40000"/>
                </a:schemeClr>
              </a:glow>
              <a:innerShdw blurRad="114300">
                <a:schemeClr val="accent2">
                  <a:lumMod val="60000"/>
                  <a:lumOff val="4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3541A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2.57</c:v>
                </c:pt>
                <c:pt idx="1">
                  <c:v>8.4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386338569"/>
        <c:axId val="801077759"/>
      </c:barChart>
      <c:catAx>
        <c:axId val="386338569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801077759"/>
        <c:crosses val="autoZero"/>
        <c:auto val="1"/>
        <c:lblAlgn val="ctr"/>
        <c:lblOffset val="100"/>
        <c:noMultiLvlLbl val="0"/>
      </c:catAx>
      <c:valAx>
        <c:axId val="801077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8633856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5552782630397"/>
          <c:y val="0.9111111111111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>
      <a:gsLst>
        <a:gs pos="0">
          <a:schemeClr val="bg1">
            <a:lumMod val="73000"/>
            <a:lumOff val="27000"/>
            <a:alpha val="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03750000000001"/>
          <c:y val="0.0733333333333333"/>
          <c:w val="0.69125"/>
          <c:h val="0.92166666666666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7"/>
          <c:dPt>
            <c:idx val="0"/>
            <c:bubble3D val="0"/>
            <c:spPr>
              <a:gradFill>
                <a:gsLst>
                  <a:gs pos="0">
                    <a:srgbClr val="14CD68"/>
                  </a:gs>
                  <a:gs pos="100000">
                    <a:srgbClr val="035C7D"/>
                  </a:gs>
                </a:gsLst>
                <a:lin ang="5400000" scaled="0"/>
              </a:gradFill>
              <a:ln w="19050" cap="flat">
                <a:solidFill>
                  <a:schemeClr val="lt1"/>
                </a:solidFill>
              </a:ln>
              <a:effectLst>
                <a:glow rad="63500">
                  <a:srgbClr val="00B050">
                    <a:alpha val="40000"/>
                  </a:srgbClr>
                </a:glo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007BD3"/>
                  </a:gs>
                  <a:gs pos="100000">
                    <a:srgbClr val="03437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glow rad="63500">
                  <a:srgbClr val="0070C0">
                    <a:alpha val="40000"/>
                  </a:srgbClr>
                </a:glo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rgbClr val="7B32B2"/>
                  </a:gs>
                  <a:gs pos="100000">
                    <a:srgbClr val="401A5D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glow rad="63500">
                  <a:srgbClr val="7030A0">
                    <a:alpha val="40000"/>
                  </a:srgbClr>
                </a:glow>
              </a:effectLst>
            </c:spPr>
          </c:dPt>
          <c:dLbls>
            <c:dLbl>
              <c:idx val="0"/>
              <c:layout>
                <c:manualLayout>
                  <c:x val="-0.21952643067256"/>
                  <c:y val="-0.25702125049192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9269756503306"/>
                  <c:y val="0.12759595933371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5702550725401"/>
                  <c:y val="0.09635551338324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C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经营企业</c:v>
                </c:pt>
                <c:pt idx="1">
                  <c:v>美容美发机构</c:v>
                </c:pt>
                <c:pt idx="2">
                  <c:v>其他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32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列2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经营企业</c:v>
                </c:pt>
                <c:pt idx="1">
                  <c:v>美容美发机构</c:v>
                </c:pt>
                <c:pt idx="2">
                  <c:v>其他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0.7805</c:v>
                </c:pt>
                <c:pt idx="1">
                  <c:v>0.1707</c:v>
                </c:pt>
                <c:pt idx="2">
                  <c:v>0.0488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5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5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5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5375"/>
          <c:y val="0.552333333333333"/>
          <c:w val="0.227625"/>
          <c:h val="0.4401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accent5">
                  <a:lumMod val="50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noFill/>
            <a:ln w="28575" cap="flat" cmpd="dbl" algn="ctr">
              <a:solidFill>
                <a:schemeClr val="accent6">
                  <a:lumMod val="75000"/>
                </a:schemeClr>
              </a:solidFill>
              <a:prstDash val="solid"/>
              <a:miter lim="800000"/>
            </a:ln>
            <a:effectLst>
              <a:glow rad="63500">
                <a:schemeClr val="accent6">
                  <a:satMod val="175000"/>
                  <a:alpha val="40000"/>
                </a:schemeClr>
              </a:glo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-540000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50000"/>
                      </a:schemeClr>
                    </a:solidFill>
                    <a:uFill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222</c:v>
                </c:pt>
                <c:pt idx="1">
                  <c:v>29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noFill/>
            <a:ln w="28575" cap="flat" cmpd="dbl" algn="ctr">
              <a:solidFill>
                <a:srgbClr val="00B0F0"/>
              </a:solidFill>
              <a:prstDash val="solid"/>
              <a:miter lim="800000"/>
            </a:ln>
            <a:effectLst>
              <a:glow rad="63500">
                <a:srgbClr val="00B0F0">
                  <a:alpha val="40000"/>
                </a:srgbClr>
              </a:glow>
            </a:effectLst>
          </c:spPr>
          <c:invertIfNegative val="0"/>
          <c:dLbls>
            <c:dLbl>
              <c:idx val="0"/>
              <c:layout>
                <c:manualLayout>
                  <c:x val="0.00384319754035357"/>
                  <c:y val="-0.02583534274888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1291767137444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-540000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242.67</c:v>
                </c:pt>
                <c:pt idx="1">
                  <c:v>58.11</c:v>
                </c:pt>
                <c:pt idx="2">
                  <c:v>8.4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599090706"/>
        <c:axId val="276037852"/>
      </c:barChart>
      <c:catAx>
        <c:axId val="59909070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50000"/>
                      <a:lumOff val="50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76037852"/>
        <c:crosses val="autoZero"/>
        <c:auto val="1"/>
        <c:lblAlgn val="ctr"/>
        <c:lblOffset val="100"/>
        <c:noMultiLvlLbl val="0"/>
      </c:catAx>
      <c:valAx>
        <c:axId val="2760378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50000"/>
                      <a:lumOff val="50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90907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50000"/>
                      <a:lumOff val="50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50000"/>
                      <a:lumOff val="50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18990051630777"/>
          <c:y val="0.0251959686450168"/>
          <c:w val="0.657977584687067"/>
          <c:h val="0.066069428891377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50000"/>
                    <a:lumOff val="50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>
      <a:gsLst>
        <a:gs pos="0">
          <a:srgbClr val="F7F2C7"/>
        </a:gs>
        <a:gs pos="100000">
          <a:schemeClr val="accent4">
            <a:lumMod val="20000"/>
            <a:lumOff val="80000"/>
          </a:schemeClr>
        </a:gs>
        <a:gs pos="100000">
          <a:srgbClr val="F0E796"/>
        </a:gs>
      </a:gsLst>
      <a:lin ang="8100000" scaled="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 rad="63500">
        <a:srgbClr val="FFC000">
          <a:alpha val="40000"/>
        </a:srgbClr>
      </a:glow>
      <a:outerShdw blurRad="50800" dist="38100" dir="2700000" sx="101000" sy="101000" algn="tl" rotWithShape="0">
        <a:schemeClr val="accent4">
          <a:lumMod val="40000"/>
          <a:lumOff val="60000"/>
          <a:alpha val="40000"/>
        </a:schemeClr>
      </a:outerShdw>
    </a:effectLst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27625"/>
          <c:y val="0.0341666666666667"/>
          <c:w val="0.720625"/>
          <c:h val="0.96083333333333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百分比</c:v>
                </c:pt>
              </c:strCache>
            </c:strRef>
          </c:tx>
          <c:spPr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explosion val="0"/>
            <c:spPr>
              <a:solidFill>
                <a:srgbClr val="F979AF">
                  <a:alpha val="67000"/>
                </a:srgbClr>
              </a:solidFill>
              <a:ln w="19050">
                <a:solidFill>
                  <a:schemeClr val="lt1"/>
                </a:solidFill>
              </a:ln>
              <a:effectLst>
                <a:outerShdw blurRad="50800" dist="635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explosion val="39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explosion val="9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56250698315359"/>
                  <c:y val="-0.33506130204518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5577473003382"/>
                  <c:y val="0.06831888407004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914522121854603"/>
                  <c:y val="0.17306414276043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药品</c:v>
                </c:pt>
                <c:pt idx="1">
                  <c:v>医疗器械</c:v>
                </c:pt>
                <c:pt idx="2">
                  <c:v>化妆品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0.7603</c:v>
                </c:pt>
                <c:pt idx="1">
                  <c:v>0.0993</c:v>
                </c:pt>
                <c:pt idx="2">
                  <c:v>0.1404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84625"/>
          <c:y val="0.484666666666667"/>
          <c:w val="0.211625"/>
          <c:h val="0.51033333333333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7030A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  <a:alpha val="64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18900000" algn="bl" rotWithShape="0">
        <a:prstClr val="black">
          <a:alpha val="40000"/>
        </a:prstClr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47054185574397"/>
          <c:y val="0.005"/>
          <c:w val="0.70425"/>
          <c:h val="0.93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solidFill>
              <a:srgbClr val="92D05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9680D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rgbClr val="F976DF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0257762120850251"/>
                  <c:y val="3.2509752925885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875"/>
                  <c:y val="0.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54104967757344"/>
                  <c:y val="-0.009938231469440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668094697874373"/>
                  <c:y val="-0.00268530559167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206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其他类别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</c:v>
                </c:pt>
                <c:pt idx="1">
                  <c:v>99</c:v>
                </c:pt>
                <c:pt idx="2">
                  <c:v>17</c:v>
                </c:pt>
                <c:pt idx="3">
                  <c:v>140</c:v>
                </c:pt>
                <c:pt idx="4">
                  <c:v>9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solidFill>
              <a:srgbClr val="92D050"/>
            </a:solidFill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9680D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rgbClr val="F976DF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13125"/>
                  <c:y val="-0.0034266303194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3125"/>
                  <c:y val="0.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375"/>
                  <c:y val="-0.0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其他类别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0.0582</c:v>
                </c:pt>
                <c:pt idx="1">
                  <c:v>0.3391</c:v>
                </c:pt>
                <c:pt idx="2">
                  <c:v>0.0582</c:v>
                </c:pt>
                <c:pt idx="3">
                  <c:v>0.4795</c:v>
                </c:pt>
                <c:pt idx="4">
                  <c:v>0.0308</c:v>
                </c:pt>
                <c:pt idx="5">
                  <c:v>0.0342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49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74526105753242"/>
          <c:y val="0.472970108119568"/>
          <c:w val="0.221926615674537"/>
          <c:h val="0.52066991732033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E6D6F3"/>
    </a:solidFill>
    <a:ln w="9525" cap="flat" cmpd="sng" algn="ctr">
      <a:noFill/>
      <a:round/>
    </a:ln>
    <a:effectLst>
      <a:glow rad="63500">
        <a:srgbClr val="7030A0">
          <a:alpha val="40000"/>
        </a:srgbClr>
      </a:glow>
      <a:outerShdw blurRad="50800" dist="38100" sx="101000" sy="101000" algn="l" rotWithShape="0">
        <a:prstClr val="black">
          <a:alpha val="40000"/>
        </a:prstClr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690104166666667"/>
          <c:y val="0.0343603946685131"/>
          <c:w val="0.896661931818182"/>
          <c:h val="0.83295828284576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2017年度</c:v>
                </c:pt>
              </c:strCache>
            </c:strRef>
          </c:tx>
          <c:spPr>
            <a:ln w="28575" cap="rnd" cmpd="sng" algn="ctr">
              <a:solidFill>
                <a:srgbClr val="F9680D"/>
              </a:solidFill>
              <a:prstDash val="solid"/>
              <a:round/>
            </a:ln>
            <a:effectLst>
              <a:glow rad="101600">
                <a:srgbClr val="ED7D31">
                  <a:satMod val="175000"/>
                  <a:alpha val="40000"/>
                </a:srgbClr>
              </a:glow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0.00585397370615861"/>
                  <c:y val="-0.018175523628180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905359729599227"/>
                  <c:y val="-0.013661202185792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73220830955621"/>
                  <c:y val="0.10550647896170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9680D"/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230</c:v>
                </c:pt>
                <c:pt idx="1">
                  <c:v>41.9</c:v>
                </c:pt>
                <c:pt idx="2">
                  <c:v>152.68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2018年度</c:v>
                </c:pt>
              </c:strCache>
            </c:strRef>
          </c:tx>
          <c:spPr>
            <a:ln w="28575" cap="rnd" cmpd="sng" algn="ctr">
              <a:solidFill>
                <a:srgbClr val="00B050"/>
              </a:solidFill>
              <a:prstDash val="solid"/>
              <a:round/>
            </a:ln>
            <a:effectLst>
              <a:glow rad="101600">
                <a:srgbClr val="70AD47">
                  <a:satMod val="175000"/>
                  <a:alpha val="40000"/>
                </a:srgbClr>
              </a:glow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0.0443892045454545"/>
                  <c:y val="0.05193006750908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9835828102366"/>
                  <c:y val="-0.054644808743169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024590163934426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60000"/>
                        <a:lumOff val="4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222</c:v>
                </c:pt>
                <c:pt idx="1">
                  <c:v>83.22</c:v>
                </c:pt>
                <c:pt idx="2">
                  <c:v>242.67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1"/>
        <c:axId val="128711594"/>
        <c:axId val="538314264"/>
      </c:line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增长率</c:v>
                </c:pt>
              </c:strCache>
            </c:strRef>
          </c:tx>
          <c:spPr>
            <a:ln w="19050" cap="rnd" cmpd="sng" algn="ctr">
              <a:solidFill>
                <a:srgbClr val="FFFF00"/>
              </a:solidFill>
              <a:prstDash val="solid"/>
              <a:round/>
            </a:ln>
            <a:effectLst>
              <a:glow rad="63500">
                <a:srgbClr val="FFC000">
                  <a:satMod val="175000"/>
                  <a:alpha val="40000"/>
                </a:srgbClr>
              </a:glow>
            </a:effectLst>
          </c:spPr>
          <c:marker>
            <c:symbol val="circle"/>
            <c:size val="5"/>
            <c:spPr>
              <a:solidFill>
                <a:srgbClr val="FF0000"/>
              </a:solidFill>
              <a:ln w="6350" cap="flat" cmpd="sng" algn="ctr">
                <a:solidFill>
                  <a:srgbClr val="FFC000"/>
                </a:solidFill>
                <a:prstDash val="solid"/>
                <a:round/>
              </a:ln>
              <a:effectLst>
                <a:glow rad="63500">
                  <a:srgbClr val="FFC000">
                    <a:satMod val="175000"/>
                    <a:alpha val="40000"/>
                  </a:srgbClr>
                </a:glow>
              </a:effectLst>
            </c:spPr>
          </c:marker>
          <c:dLbls>
            <c:dLbl>
              <c:idx val="1"/>
              <c:layout>
                <c:manualLayout>
                  <c:x val="-0.00177556818181818"/>
                  <c:y val="-0.02336853037908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C000"/>
                    </a:solidFill>
                    <a:uFill>
                      <a:solidFill>
                        <a:schemeClr val="bg1"/>
                      </a:solidFill>
                    </a:u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-0.0348</c:v>
                </c:pt>
                <c:pt idx="1">
                  <c:v>0.9862</c:v>
                </c:pt>
                <c:pt idx="2">
                  <c:v>0.5894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2753647"/>
        <c:axId val="309087430"/>
      </c:lineChart>
      <c:catAx>
        <c:axId val="12871159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rgbClr val="92D05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38314264"/>
        <c:crosses val="autoZero"/>
        <c:auto val="1"/>
        <c:lblAlgn val="ctr"/>
        <c:lblOffset val="100"/>
        <c:noMultiLvlLbl val="0"/>
      </c:catAx>
      <c:valAx>
        <c:axId val="538314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rgbClr val="00B05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28711594"/>
        <c:crosses val="autoZero"/>
        <c:crossBetween val="between"/>
      </c:valAx>
      <c:catAx>
        <c:axId val="72753647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bg1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09087430"/>
        <c:crosses val="autoZero"/>
        <c:auto val="1"/>
        <c:lblAlgn val="ctr"/>
        <c:lblOffset val="100"/>
        <c:noMultiLvlLbl val="0"/>
      </c:catAx>
      <c:valAx>
        <c:axId val="309087430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FFC000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275364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horzOverflow="overflow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bg1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236979166666667"/>
          <c:y val="0.932317812013156"/>
          <c:w val="0.490530303030303"/>
          <c:h val="0.06248918123593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bg1"/>
              </a:solidFill>
              <a:uFill>
                <a:solidFill>
                  <a:schemeClr val="bg1"/>
                </a:solidFill>
              </a:u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tx2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vertOverflow="ellipsis" horzOverflow="overflow" vert="horz" wrap="square" anchor="ctr" anchorCtr="1" forceAA="0"/>
    <a:lstStyle/>
    <a:p>
      <a:pPr>
        <a:defRPr lang="zh-CN">
          <a:solidFill>
            <a:schemeClr val="bg1"/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9857797626043"/>
          <c:y val="0.0392888888888889"/>
          <c:w val="0.843224820778"/>
          <c:h val="0.68035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gradFill>
              <a:gsLst>
                <a:gs pos="0">
                  <a:srgbClr val="21A4FF"/>
                </a:gs>
                <a:gs pos="100000">
                  <a:srgbClr val="0070C0"/>
                </a:gs>
              </a:gsLst>
              <a:lin ang="8100000" scaled="0"/>
            </a:gra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0625"/>
                  <c:y val="-0.0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875"/>
                  <c:y val="-0.0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4375"/>
                  <c:y val="0.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1875"/>
                  <c:y val="0.0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125"/>
                  <c:y val="-0.0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14</c:v>
                </c:pt>
                <c:pt idx="1">
                  <c:v>82</c:v>
                </c:pt>
                <c:pt idx="2">
                  <c:v>10</c:v>
                </c:pt>
                <c:pt idx="3">
                  <c:v>102</c:v>
                </c:pt>
                <c:pt idx="4">
                  <c:v>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43927"/>
        <c:axId val="896614919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ln w="28575" cap="sq" cmpd="sng">
              <a:solidFill>
                <a:srgbClr val="DA6C22"/>
              </a:solidFill>
              <a:prstDash val="solid"/>
              <a:bevel/>
              <a:headEnd type="none"/>
              <a:tailEnd type="none"/>
            </a:ln>
            <a:effectLst>
              <a:glow rad="63500">
                <a:schemeClr val="accent4">
                  <a:satMod val="175000"/>
                  <a:alpha val="40000"/>
                </a:schemeClr>
              </a:glow>
            </a:effectLst>
          </c:spPr>
          <c:marker>
            <c:symbol val="circle"/>
            <c:size val="6"/>
            <c:spPr>
              <a:solidFill>
                <a:srgbClr val="FFFF00">
                  <a:alpha val="91000"/>
                </a:srgbClr>
              </a:solidFill>
              <a:ln w="3175" cmpd="sng">
                <a:solidFill>
                  <a:srgbClr val="FF0000"/>
                </a:solidFill>
                <a:prstDash val="solid"/>
              </a:ln>
              <a:effectLst>
                <a:glow rad="63500">
                  <a:schemeClr val="accent4">
                    <a:satMod val="175000"/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0.005625"/>
                  <c:y val="-0.0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375"/>
                  <c:y val="-0.02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0.04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0625"/>
                  <c:y val="-0.03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7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0.0631</c:v>
                </c:pt>
                <c:pt idx="1">
                  <c:v>0.3694</c:v>
                </c:pt>
                <c:pt idx="2">
                  <c:v>0.045</c:v>
                </c:pt>
                <c:pt idx="3">
                  <c:v>0.4595</c:v>
                </c:pt>
                <c:pt idx="4">
                  <c:v>0.0225</c:v>
                </c:pt>
                <c:pt idx="5">
                  <c:v>0.0405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87072367"/>
        <c:axId val="23281065"/>
      </c:lineChart>
      <c:catAx>
        <c:axId val="633439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896614919"/>
        <c:crosses val="autoZero"/>
        <c:auto val="1"/>
        <c:lblAlgn val="ctr"/>
        <c:lblOffset val="100"/>
        <c:noMultiLvlLbl val="0"/>
      </c:catAx>
      <c:valAx>
        <c:axId val="896614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63343927"/>
        <c:crosses val="autoZero"/>
        <c:crossBetween val="between"/>
      </c:valAx>
      <c:catAx>
        <c:axId val="487072367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281065"/>
        <c:crosses val="autoZero"/>
        <c:auto val="1"/>
        <c:lblAlgn val="ctr"/>
        <c:lblOffset val="100"/>
        <c:noMultiLvlLbl val="0"/>
      </c:catAx>
      <c:valAx>
        <c:axId val="23281065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6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8707236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563325846162886"/>
          <c:y val="0.9315"/>
          <c:w val="0.428125"/>
          <c:h val="0.06316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273529777446227"/>
          <c:y val="0.00805964134596011"/>
          <c:w val="0.945294044510755"/>
          <c:h val="0.88938142252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1">
                        <a:lumMod val="75000"/>
                      </a:schemeClr>
                    </a:solidFill>
                    <a:uFill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生产企业</c:v>
                </c:pt>
                <c:pt idx="1">
                  <c:v>经营企业</c:v>
                </c:pt>
                <c:pt idx="2">
                  <c:v>医疗机构</c:v>
                </c:pt>
                <c:pt idx="3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</c:v>
                </c:pt>
                <c:pt idx="1">
                  <c:v>124</c:v>
                </c:pt>
                <c:pt idx="2">
                  <c:v>69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54602973"/>
        <c:axId val="44138696"/>
      </c:barChart>
      <c:catAx>
        <c:axId val="65460297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幼圆" panose="02010509060101010101" pitchFamily="49" charset="-122"/>
                <a:ea typeface="幼圆" panose="02010509060101010101" pitchFamily="49" charset="-122"/>
                <a:cs typeface="+mn-cs"/>
              </a:defRPr>
            </a:pPr>
          </a:p>
        </c:txPr>
        <c:crossAx val="44138696"/>
        <c:crosses val="autoZero"/>
        <c:auto val="1"/>
        <c:lblAlgn val="ctr"/>
        <c:lblOffset val="100"/>
        <c:noMultiLvlLbl val="0"/>
      </c:catAx>
      <c:valAx>
        <c:axId val="44138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4602973"/>
        <c:crosses val="autoZero"/>
        <c:crossBetween val="between"/>
      </c:valAx>
      <c:spPr>
        <a:pattFill prst="pct5">
          <a:fgClr>
            <a:srgbClr val="5B9BD5"/>
          </a:fgClr>
          <a:bgClr>
            <a:sysClr val="window" lastClr="FFFFFF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glow rad="63500">
                <a:schemeClr val="accent4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9EE256"/>
                  </a:gs>
                  <a:gs pos="100000">
                    <a:srgbClr val="52762D"/>
                  </a:gs>
                </a:gsLst>
                <a:path path="circle"/>
              </a:gradFill>
              <a:ln>
                <a:noFill/>
              </a:ln>
              <a:effectLst>
                <a:glow rad="63500">
                  <a:srgbClr val="92D050">
                    <a:alpha val="40000"/>
                  </a:srgbClr>
                </a:glow>
              </a:effectLst>
            </c:spPr>
          </c:dPt>
          <c:dPt>
            <c:idx val="1"/>
            <c:invertIfNegative val="0"/>
            <c:bubble3D val="0"/>
            <c:spPr>
              <a:gradFill>
                <a:gsLst>
                  <a:gs pos="0">
                    <a:srgbClr val="FE4444"/>
                  </a:gs>
                  <a:gs pos="100000">
                    <a:srgbClr val="832B2B"/>
                  </a:gs>
                </a:gsLst>
                <a:path path="circle"/>
              </a:gradFill>
              <a:ln>
                <a:noFill/>
              </a:ln>
              <a:effectLst>
                <a:glow rad="63500">
                  <a:srgbClr val="FF0000">
                    <a:alpha val="40000"/>
                  </a:srgbClr>
                </a:glow>
              </a:effectLst>
            </c:spPr>
          </c:dPt>
          <c:dPt>
            <c:idx val="2"/>
            <c:invertIfNegative val="0"/>
            <c:bubble3D val="0"/>
            <c:spPr>
              <a:gradFill>
                <a:gsLst>
                  <a:gs pos="0">
                    <a:srgbClr val="FBFB11"/>
                  </a:gs>
                  <a:gs pos="100000">
                    <a:srgbClr val="838309"/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>
                <a:glow rad="63500">
                  <a:schemeClr val="accent4">
                    <a:satMod val="175000"/>
                    <a:alpha val="40000"/>
                  </a:schemeClr>
                </a:glow>
              </a:effectLst>
            </c:spPr>
          </c:dPt>
          <c:dLbls>
            <c:dLbl>
              <c:idx val="2"/>
              <c:layout>
                <c:manualLayout>
                  <c:x val="0"/>
                  <c:y val="0.027439024390243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cap="none" spc="0" normalizeH="0" baseline="0">
                    <a:solidFill>
                      <a:schemeClr val="bg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经营企业</c:v>
                </c:pt>
                <c:pt idx="1">
                  <c:v>医疗机构</c:v>
                </c:pt>
                <c:pt idx="2">
                  <c:v>其他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101</c:v>
                </c:pt>
                <c:pt idx="1">
                  <c:v>4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0048069"/>
        <c:axId val="641322367"/>
      </c:barChart>
      <c:catAx>
        <c:axId val="13004806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641322367"/>
        <c:crosses val="autoZero"/>
        <c:auto val="1"/>
        <c:lblAlgn val="ctr"/>
        <c:lblOffset val="100"/>
        <c:noMultiLvlLbl val="0"/>
      </c:catAx>
      <c:valAx>
        <c:axId val="641322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3004806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cap="none" spc="0" normalizeH="0" baseline="0">
              <a:solidFill>
                <a:schemeClr val="bg1"/>
              </a:solidFill>
              <a:uFill>
                <a:solidFill>
                  <a:schemeClr val="tx1"/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tx2">
        <a:lumMod val="7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 u="none" strike="noStrike" kern="1200" cap="none" spc="0" normalizeH="0">
          <a:solidFill>
            <a:schemeClr val="bg1"/>
          </a:solidFill>
          <a:uFill>
            <a:solidFill>
              <a:schemeClr val="tx1"/>
            </a:solidFill>
          </a:uFill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47873392680514"/>
          <c:y val="0.0199430199430199"/>
          <c:w val="0.896389713155292"/>
          <c:h val="0.906552706552707"/>
        </c:manualLayout>
      </c:layout>
      <c:scatterChart>
        <c:scatte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ln w="19050" cap="rnd">
              <a:noFill/>
              <a:round/>
            </a:ln>
            <a:effectLst>
              <a:glow rad="63500">
                <a:schemeClr val="accent2">
                  <a:satMod val="175000"/>
                  <a:alpha val="40000"/>
                </a:schemeClr>
              </a:glow>
            </a:effectLst>
          </c:spPr>
          <c:marker>
            <c:symbol val="diamond"/>
            <c:size val="9"/>
            <c:spPr>
              <a:solidFill>
                <a:srgbClr val="FFFF00"/>
              </a:solidFill>
              <a:ln w="9525">
                <a:solidFill>
                  <a:schemeClr val="accent1"/>
                </a:solidFill>
              </a:ln>
              <a:effectLst>
                <a:glow rad="63500">
                  <a:schemeClr val="accent2">
                    <a:satMod val="175000"/>
                    <a:alpha val="40000"/>
                  </a:schemeClr>
                </a:glow>
              </a:effectLst>
            </c:spPr>
          </c:marker>
          <c:dPt>
            <c:idx val="0"/>
            <c:marker>
              <c:symbol val="diamond"/>
              <c:size val="9"/>
              <c:spPr>
                <a:solidFill>
                  <a:srgbClr val="FFFF00"/>
                </a:solidFill>
                <a:ln w="9525">
                  <a:solidFill>
                    <a:schemeClr val="accent1"/>
                  </a:solidFill>
                </a:ln>
                <a:effectLst>
                  <a:glow rad="63500">
                    <a:srgbClr val="FFFF00">
                      <a:alpha val="40000"/>
                    </a:srgbClr>
                  </a:glow>
                </a:effectLst>
              </c:spPr>
            </c:marker>
            <c:bubble3D val="0"/>
            <c:spPr>
              <a:ln w="19050" cap="rnd">
                <a:noFill/>
                <a:round/>
              </a:ln>
              <a:effectLst>
                <a:glow rad="63500">
                  <a:srgbClr val="FFFF00">
                    <a:alpha val="40000"/>
                  </a:srgbClr>
                </a:glow>
              </a:effectLst>
            </c:spPr>
          </c:dPt>
          <c:dPt>
            <c:idx val="1"/>
            <c:marker>
              <c:symbol val="diamond"/>
              <c:size val="9"/>
              <c:spPr>
                <a:solidFill>
                  <a:srgbClr val="FFFF00"/>
                </a:solidFill>
                <a:ln w="9525">
                  <a:solidFill>
                    <a:schemeClr val="accent1"/>
                  </a:solidFill>
                </a:ln>
                <a:effectLst>
                  <a:glow rad="63500">
                    <a:srgbClr val="FFFF00">
                      <a:alpha val="40000"/>
                    </a:srgbClr>
                  </a:glow>
                </a:effectLst>
              </c:spPr>
            </c:marker>
            <c:bubble3D val="0"/>
            <c:spPr>
              <a:ln w="19050" cap="rnd">
                <a:noFill/>
                <a:round/>
              </a:ln>
              <a:effectLst>
                <a:glow rad="63500">
                  <a:srgbClr val="FFFF00">
                    <a:alpha val="40000"/>
                  </a:srgbClr>
                </a:glow>
              </a:effectLst>
            </c:spPr>
          </c:dPt>
          <c:dLbls>
            <c:dLbl>
              <c:idx val="0"/>
              <c:layout>
                <c:manualLayout>
                  <c:x val="-0.005625"/>
                  <c:y val="-0.012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6875"/>
                  <c:y val="0.042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4">
                        <a:lumMod val="7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xVal>
          <c:y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29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ln w="19050" cap="rnd">
              <a:noFill/>
              <a:round/>
            </a:ln>
            <a:effectLst>
              <a:glow rad="63500">
                <a:schemeClr val="accent2">
                  <a:satMod val="175000"/>
                  <a:alpha val="40000"/>
                </a:schemeClr>
              </a:glow>
            </a:effectLst>
          </c:spPr>
          <c:marker>
            <c:symbol val="circle"/>
            <c:size val="7"/>
            <c:spPr>
              <a:solidFill>
                <a:srgbClr val="ED5431"/>
              </a:solidFill>
              <a:ln w="9525">
                <a:solidFill>
                  <a:schemeClr val="accent2"/>
                </a:solidFill>
              </a:ln>
              <a:effectLst>
                <a:glow rad="63500">
                  <a:schemeClr val="accent2">
                    <a:satMod val="175000"/>
                    <a:alpha val="40000"/>
                  </a:schemeClr>
                </a:glow>
              </a:effectLst>
            </c:spPr>
          </c:marker>
          <c:dLbls>
            <c:dLbl>
              <c:idx val="1"/>
              <c:layout>
                <c:manualLayout>
                  <c:x val="-0.07125"/>
                  <c:y val="0.051567533333333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ED543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xVal>
          <c:yVal>
            <c:numRef>
              <c:f>Sheet1!$C$2:$C$3</c:f>
              <c:numCache>
                <c:formatCode>General</c:formatCode>
                <c:ptCount val="2"/>
                <c:pt idx="0">
                  <c:v>155.64</c:v>
                </c:pt>
                <c:pt idx="1">
                  <c:v>422.85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ln w="19050" cap="rnd">
              <a:noFill/>
              <a:round/>
            </a:ln>
            <a:effectLst>
              <a:glow rad="63500">
                <a:schemeClr val="accent6">
                  <a:satMod val="175000"/>
                  <a:alpha val="40000"/>
                </a:schemeClr>
              </a:glow>
            </a:effectLst>
          </c:spPr>
          <c:marker>
            <c:symbol val="triangle"/>
            <c:size val="8"/>
            <c:spPr>
              <a:solidFill>
                <a:srgbClr val="00B050"/>
              </a:solidFill>
              <a:ln w="9525">
                <a:solidFill>
                  <a:schemeClr val="accent3"/>
                </a:solidFill>
              </a:ln>
              <a:effectLst>
                <a:glow rad="63500">
                  <a:schemeClr val="accent6">
                    <a:satMod val="175000"/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0.045"/>
                  <c:y val="0.027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50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Sheet1!$A$2:$A$3</c:f>
              <c:strCache>
                <c:ptCount val="2"/>
                <c:pt idx="0">
                  <c:v>2017年度</c:v>
                </c:pt>
                <c:pt idx="1">
                  <c:v>2018年度</c:v>
                </c:pt>
              </c:strCache>
            </c:strRef>
          </c:xVal>
          <c:yVal>
            <c:numRef>
              <c:f>Sheet1!$D$2:$D$3</c:f>
              <c:numCache>
                <c:formatCode>General</c:formatCode>
                <c:ptCount val="2"/>
                <c:pt idx="0">
                  <c:v>116.12</c:v>
                </c:pt>
                <c:pt idx="1">
                  <c:v>58.11</c:v>
                </c:pt>
              </c:numCache>
            </c:numRef>
          </c:y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91586051"/>
        <c:axId val="132728505"/>
      </c:scatterChart>
      <c:valAx>
        <c:axId val="29158605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6">
                    <a:lumMod val="5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32728505"/>
        <c:crosses val="autoZero"/>
        <c:crossBetween val="midCat"/>
      </c:valAx>
      <c:valAx>
        <c:axId val="1327285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206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7030A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1586051"/>
        <c:crosses val="autoZero"/>
        <c:crossBetween val="midCat"/>
      </c:valAx>
      <c:spPr>
        <a:solidFill>
          <a:schemeClr val="accent1">
            <a:lumMod val="40000"/>
            <a:lumOff val="60000"/>
          </a:schemeClr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14334198813056"/>
          <c:y val="0.925786324786325"/>
          <c:w val="0.6045"/>
          <c:h val="0.06566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IFT Multiple 3">
    <a:dk1>
      <a:sysClr val="windowText" lastClr="000000"/>
    </a:dk1>
    <a:lt1>
      <a:sysClr val="window" lastClr="FFFFFF"/>
    </a:lt1>
    <a:dk2>
      <a:srgbClr val="3A3838"/>
    </a:dk2>
    <a:lt2>
      <a:srgbClr val="A5A5A5"/>
    </a:lt2>
    <a:accent1>
      <a:srgbClr val="E66000"/>
    </a:accent1>
    <a:accent2>
      <a:srgbClr val="FF9500"/>
    </a:accent2>
    <a:accent3>
      <a:srgbClr val="FFCB00"/>
    </a:accent3>
    <a:accent4>
      <a:srgbClr val="0095DD"/>
    </a:accent4>
    <a:accent5>
      <a:srgbClr val="00539F"/>
    </a:accent5>
    <a:accent6>
      <a:srgbClr val="331E54"/>
    </a:accent6>
    <a:hlink>
      <a:srgbClr val="A05024"/>
    </a:hlink>
    <a:folHlink>
      <a:srgbClr val="FEC037"/>
    </a:folHlink>
  </a:clrScheme>
  <a:fontScheme name="Office 主题​​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主题​​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2018-04-04T02:38:00Z</dcterms:created>
  <dc:creator>TX</dc:creator>
  <cp:lastModifiedBy>じ♂☆【欣】</cp:lastModifiedBy>
  <cp:lastPrinted>2019-02-13T02:45:00Z</cp:lastPrinted>
  <dcterms:modified xsi:type="dcterms:W3CDTF">2019-02-14T01:04:20Z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